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1F92" w14:textId="009BBAC4" w:rsidR="0028353F" w:rsidRDefault="00FA13F6" w:rsidP="00151084">
      <w:pPr>
        <w:tabs>
          <w:tab w:val="left" w:pos="4253"/>
        </w:tabs>
        <w:spacing w:after="0" w:line="240" w:lineRule="atLeast"/>
        <w:contextualSpacing/>
        <w:rPr>
          <w:rFonts w:ascii="Arial" w:eastAsia="Calibri" w:hAnsi="Arial" w:cs="Arial"/>
          <w:sz w:val="18"/>
          <w:szCs w:val="18"/>
        </w:rPr>
      </w:pPr>
      <w:r w:rsidRPr="001371A7">
        <w:rPr>
          <w:rFonts w:ascii="Arial" w:hAnsi="Arial" w:cs="Arial"/>
          <w:sz w:val="24"/>
          <w:szCs w:val="24"/>
        </w:rPr>
        <w:tab/>
      </w:r>
    </w:p>
    <w:p w14:paraId="049B366E" w14:textId="3A87A397" w:rsidR="00151084" w:rsidRPr="00151084" w:rsidRDefault="00D1504D" w:rsidP="00151084">
      <w:pPr>
        <w:tabs>
          <w:tab w:val="left" w:pos="4253"/>
        </w:tabs>
        <w:spacing w:line="240" w:lineRule="auto"/>
        <w:contextualSpacing/>
        <w:jc w:val="center"/>
        <w:rPr>
          <w:rFonts w:ascii="Arial" w:eastAsia="Calibri" w:hAnsi="Arial" w:cs="Arial"/>
          <w:b/>
          <w:bCs/>
          <w:sz w:val="28"/>
          <w:szCs w:val="28"/>
        </w:rPr>
      </w:pPr>
      <w:r w:rsidRPr="00151084">
        <w:rPr>
          <w:rFonts w:ascii="Arial" w:eastAsia="Calibri" w:hAnsi="Arial" w:cs="Arial"/>
          <w:b/>
          <w:bCs/>
          <w:sz w:val="28"/>
          <w:szCs w:val="28"/>
        </w:rPr>
        <w:t>Anexo N.º 1</w:t>
      </w:r>
    </w:p>
    <w:p w14:paraId="4A1C4B75" w14:textId="77777777" w:rsidR="00151084" w:rsidRPr="00151084" w:rsidRDefault="00151084" w:rsidP="00151084">
      <w:pPr>
        <w:tabs>
          <w:tab w:val="left" w:pos="4253"/>
        </w:tabs>
        <w:spacing w:line="240" w:lineRule="auto"/>
        <w:contextualSpacing/>
        <w:jc w:val="center"/>
        <w:rPr>
          <w:rFonts w:ascii="Arial" w:eastAsia="Calibri" w:hAnsi="Arial" w:cs="Arial"/>
          <w:b/>
          <w:bCs/>
          <w:sz w:val="28"/>
          <w:szCs w:val="28"/>
        </w:rPr>
      </w:pPr>
    </w:p>
    <w:p w14:paraId="53FBBD5C" w14:textId="5183D8AD" w:rsidR="00D1504D" w:rsidRPr="00151084" w:rsidRDefault="00D1504D" w:rsidP="00151084">
      <w:pPr>
        <w:tabs>
          <w:tab w:val="left" w:pos="4253"/>
        </w:tabs>
        <w:spacing w:line="240" w:lineRule="auto"/>
        <w:contextualSpacing/>
        <w:jc w:val="center"/>
        <w:rPr>
          <w:rFonts w:ascii="Arial" w:eastAsia="Times New Roman" w:hAnsi="Arial" w:cs="Arial"/>
          <w:b/>
          <w:bCs/>
          <w:sz w:val="24"/>
          <w:szCs w:val="24"/>
          <w:lang w:val="es-MX" w:eastAsia="es-CR"/>
        </w:rPr>
      </w:pPr>
      <w:r w:rsidRPr="00151084">
        <w:rPr>
          <w:rFonts w:ascii="Arial" w:eastAsia="Calibri" w:hAnsi="Arial" w:cs="Arial"/>
          <w:b/>
          <w:bCs/>
          <w:sz w:val="24"/>
          <w:szCs w:val="24"/>
        </w:rPr>
        <w:t>“</w:t>
      </w:r>
      <w:r w:rsidRPr="00151084">
        <w:rPr>
          <w:rFonts w:ascii="Arial" w:hAnsi="Arial" w:cs="Arial"/>
          <w:b/>
          <w:bCs/>
          <w:color w:val="000000"/>
          <w:sz w:val="24"/>
          <w:szCs w:val="24"/>
          <w:lang w:val="es-MX"/>
        </w:rPr>
        <w:t>Ajuste al presupuesto solicitado y aprobado en el 2023, de manera que se refleje solo lo que se va a ejecutar en el presente año”</w:t>
      </w:r>
    </w:p>
    <w:p w14:paraId="5E789BBE" w14:textId="77777777" w:rsidR="00D1504D" w:rsidRDefault="00D1504D" w:rsidP="006F3810">
      <w:pPr>
        <w:tabs>
          <w:tab w:val="left" w:pos="4253"/>
        </w:tabs>
        <w:spacing w:line="240" w:lineRule="auto"/>
        <w:contextualSpacing/>
        <w:rPr>
          <w:rFonts w:ascii="Arial" w:eastAsia="Calibri" w:hAnsi="Arial" w:cs="Arial"/>
          <w:sz w:val="18"/>
          <w:szCs w:val="18"/>
        </w:rPr>
      </w:pPr>
    </w:p>
    <w:p w14:paraId="20D7047F" w14:textId="77777777" w:rsidR="00D1504D" w:rsidRPr="00D1504D" w:rsidRDefault="00D1504D" w:rsidP="006F3810">
      <w:pPr>
        <w:tabs>
          <w:tab w:val="left" w:pos="4253"/>
        </w:tabs>
        <w:spacing w:line="240" w:lineRule="auto"/>
        <w:contextualSpacing/>
        <w:rPr>
          <w:rFonts w:ascii="Arial" w:eastAsia="Calibri" w:hAnsi="Arial" w:cs="Arial"/>
        </w:rPr>
      </w:pPr>
    </w:p>
    <w:p w14:paraId="5C17E9F0" w14:textId="77777777" w:rsidR="0028353F" w:rsidRPr="00D1504D" w:rsidRDefault="0028353F" w:rsidP="00D1504D">
      <w:pPr>
        <w:tabs>
          <w:tab w:val="left" w:pos="4253"/>
        </w:tabs>
        <w:spacing w:after="0" w:line="240" w:lineRule="auto"/>
        <w:jc w:val="both"/>
        <w:rPr>
          <w:rFonts w:ascii="Arial" w:hAnsi="Arial" w:cs="Arial"/>
          <w:color w:val="000000"/>
          <w:lang w:val="es-MX"/>
        </w:rPr>
      </w:pPr>
      <w:r w:rsidRPr="00D1504D">
        <w:rPr>
          <w:rFonts w:ascii="Arial" w:hAnsi="Arial" w:cs="Arial"/>
          <w:color w:val="000000"/>
          <w:lang w:val="es-MX"/>
        </w:rPr>
        <w:t xml:space="preserve">A solicitud de la Administración, ésta acción consiste en que cada Unidad Ejecutora del Vínculo Externo realice un detallado análisis del presupuesto que ya le ha sido aprobado, con la finalidad de plantear un ajuste ante la OAF de las partidas por objeto del gasto y montos que pueden ser disminuidas; ya sea porque se identifica que en el 2023 el gasto real será menor a lo previamente solicitado o </w:t>
      </w:r>
      <w:r w:rsidRPr="00D1504D">
        <w:rPr>
          <w:rFonts w:ascii="Arial" w:hAnsi="Arial" w:cs="Arial"/>
          <w:lang w:val="es-MX"/>
        </w:rPr>
        <w:t xml:space="preserve">porque una o varias necesidades de compra pueden ser diferidas e incorporadas </w:t>
      </w:r>
      <w:r w:rsidRPr="00D1504D">
        <w:rPr>
          <w:rFonts w:ascii="Arial" w:hAnsi="Arial" w:cs="Arial"/>
          <w:color w:val="000000"/>
          <w:lang w:val="es-MX"/>
        </w:rPr>
        <w:t>en el presupuesto 2024, donde el trámite de ejecución podrá hacerse efectivo a partir del mes de enero de 2024.</w:t>
      </w:r>
    </w:p>
    <w:p w14:paraId="1C76713C" w14:textId="77777777" w:rsidR="0028353F" w:rsidRPr="00D1504D" w:rsidRDefault="0028353F" w:rsidP="0028353F">
      <w:pPr>
        <w:pStyle w:val="Prrafodelista"/>
        <w:tabs>
          <w:tab w:val="left" w:pos="4253"/>
        </w:tabs>
        <w:spacing w:after="0" w:line="240" w:lineRule="auto"/>
        <w:jc w:val="both"/>
        <w:rPr>
          <w:rFonts w:ascii="Arial" w:hAnsi="Arial" w:cs="Arial"/>
          <w:color w:val="000000"/>
          <w:lang w:val="es-MX"/>
        </w:rPr>
      </w:pPr>
    </w:p>
    <w:p w14:paraId="06E2C47F" w14:textId="77777777" w:rsidR="0028353F" w:rsidRPr="00D1504D" w:rsidRDefault="0028353F" w:rsidP="00D1504D">
      <w:pPr>
        <w:tabs>
          <w:tab w:val="left" w:pos="4253"/>
        </w:tabs>
        <w:spacing w:after="0" w:line="240" w:lineRule="auto"/>
        <w:jc w:val="both"/>
        <w:rPr>
          <w:rFonts w:ascii="Arial" w:hAnsi="Arial" w:cs="Arial"/>
          <w:b/>
          <w:bCs/>
          <w:color w:val="000000"/>
          <w:lang w:val="es-MX"/>
        </w:rPr>
      </w:pPr>
      <w:r w:rsidRPr="00D1504D">
        <w:rPr>
          <w:rFonts w:ascii="Arial" w:hAnsi="Arial" w:cs="Arial"/>
          <w:b/>
          <w:bCs/>
          <w:color w:val="000000"/>
          <w:lang w:val="es-MX"/>
        </w:rPr>
        <w:t xml:space="preserve">Procedimiento por aplicar:  </w:t>
      </w:r>
    </w:p>
    <w:p w14:paraId="4498EA5E" w14:textId="77777777" w:rsidR="0028353F" w:rsidRPr="00D1504D" w:rsidRDefault="0028353F" w:rsidP="0028353F">
      <w:pPr>
        <w:pStyle w:val="Prrafodelista"/>
        <w:tabs>
          <w:tab w:val="left" w:pos="4253"/>
        </w:tabs>
        <w:spacing w:after="0" w:line="240" w:lineRule="auto"/>
        <w:jc w:val="both"/>
        <w:rPr>
          <w:rFonts w:ascii="Arial" w:hAnsi="Arial" w:cs="Arial"/>
          <w:color w:val="000000"/>
          <w:lang w:val="es-MX"/>
        </w:rPr>
      </w:pPr>
    </w:p>
    <w:tbl>
      <w:tblPr>
        <w:tblStyle w:val="Tablaconcuadrcula"/>
        <w:tblW w:w="0" w:type="auto"/>
        <w:tblInd w:w="988" w:type="dxa"/>
        <w:tblLook w:val="04A0" w:firstRow="1" w:lastRow="0" w:firstColumn="1" w:lastColumn="0" w:noHBand="0" w:noVBand="1"/>
      </w:tblPr>
      <w:tblGrid>
        <w:gridCol w:w="522"/>
        <w:gridCol w:w="6707"/>
      </w:tblGrid>
      <w:tr w:rsidR="0028353F" w:rsidRPr="00D1504D" w14:paraId="125673C5" w14:textId="77777777" w:rsidTr="00535126">
        <w:tc>
          <w:tcPr>
            <w:tcW w:w="522" w:type="dxa"/>
          </w:tcPr>
          <w:p w14:paraId="3963F4C3" w14:textId="77777777" w:rsidR="0028353F" w:rsidRPr="00D1504D" w:rsidRDefault="0028353F" w:rsidP="00535126">
            <w:pPr>
              <w:pStyle w:val="Prrafodelista"/>
              <w:tabs>
                <w:tab w:val="left" w:pos="4253"/>
              </w:tabs>
              <w:ind w:left="0"/>
              <w:jc w:val="both"/>
              <w:rPr>
                <w:rFonts w:ascii="Arial" w:hAnsi="Arial" w:cs="Arial"/>
                <w:color w:val="000000"/>
                <w:lang w:val="es-MX"/>
              </w:rPr>
            </w:pPr>
            <w:r w:rsidRPr="00D1504D">
              <w:rPr>
                <w:rFonts w:ascii="Arial" w:hAnsi="Arial" w:cs="Arial"/>
                <w:color w:val="000000"/>
                <w:lang w:val="es-MX"/>
              </w:rPr>
              <w:t>1.1</w:t>
            </w:r>
          </w:p>
        </w:tc>
        <w:tc>
          <w:tcPr>
            <w:tcW w:w="6707" w:type="dxa"/>
          </w:tcPr>
          <w:p w14:paraId="504A55B2" w14:textId="4EC663D5" w:rsidR="00B90DFB" w:rsidRPr="007C761D" w:rsidRDefault="0028353F" w:rsidP="00535126">
            <w:pPr>
              <w:shd w:val="clear" w:color="auto" w:fill="FFFFFF" w:themeFill="background1"/>
              <w:tabs>
                <w:tab w:val="left" w:pos="4253"/>
              </w:tabs>
              <w:jc w:val="both"/>
              <w:rPr>
                <w:rFonts w:ascii="Arial" w:hAnsi="Arial" w:cs="Arial"/>
                <w:color w:val="000000"/>
                <w:lang w:val="es-MX"/>
              </w:rPr>
            </w:pPr>
            <w:r w:rsidRPr="007C761D">
              <w:rPr>
                <w:rFonts w:ascii="Arial" w:hAnsi="Arial" w:cs="Arial"/>
                <w:color w:val="000000"/>
                <w:lang w:val="es-MX"/>
              </w:rPr>
              <w:t xml:space="preserve">El equipo asesor de presupuesto se comunicará con la Unidad Ejecutora y remitirá por correo electrónico un archivo en Excel con los saldos actualizados de las partidas por objeto del gasto, con la finalidad de identificar los montos por ajustar.  Asimismo, para facilitar el trámite de ajuste, en el archivo se incluirá el cuadro resumen donde se podrán digitar los montos a disminuir.  </w:t>
            </w:r>
          </w:p>
          <w:p w14:paraId="1BE5A37A" w14:textId="77777777" w:rsidR="0028353F" w:rsidRPr="007C761D" w:rsidRDefault="0028353F" w:rsidP="00535126">
            <w:pPr>
              <w:shd w:val="clear" w:color="auto" w:fill="FFFFFF" w:themeFill="background1"/>
              <w:tabs>
                <w:tab w:val="left" w:pos="4253"/>
              </w:tabs>
              <w:jc w:val="both"/>
              <w:rPr>
                <w:rFonts w:ascii="Arial" w:hAnsi="Arial" w:cs="Arial"/>
                <w:color w:val="000000"/>
                <w:lang w:val="es-MX"/>
              </w:rPr>
            </w:pPr>
          </w:p>
          <w:p w14:paraId="53BD350B" w14:textId="77777777" w:rsidR="0028353F" w:rsidRPr="007C761D" w:rsidRDefault="0028353F" w:rsidP="00535126">
            <w:pPr>
              <w:shd w:val="clear" w:color="auto" w:fill="FFFFFF" w:themeFill="background1"/>
              <w:tabs>
                <w:tab w:val="left" w:pos="4253"/>
              </w:tabs>
              <w:jc w:val="both"/>
              <w:rPr>
                <w:rFonts w:ascii="Arial" w:hAnsi="Arial" w:cs="Arial"/>
                <w:color w:val="000000"/>
                <w:lang w:val="es-MX"/>
              </w:rPr>
            </w:pPr>
            <w:r w:rsidRPr="007C761D">
              <w:rPr>
                <w:rFonts w:ascii="Arial" w:hAnsi="Arial" w:cs="Arial"/>
                <w:color w:val="000000"/>
                <w:lang w:val="es-MX"/>
              </w:rPr>
              <w:t>Se aclara que los recursos que no se incorporen en el presente año continuarán formando parte de la Unidad y quedarán a disposición para ejecutarse en los siguientes periodos.</w:t>
            </w:r>
          </w:p>
          <w:p w14:paraId="1CA8C9E7" w14:textId="77777777" w:rsidR="0028353F" w:rsidRPr="007C761D" w:rsidRDefault="0028353F" w:rsidP="007C761D">
            <w:pPr>
              <w:shd w:val="clear" w:color="auto" w:fill="FFFFFF" w:themeFill="background1"/>
              <w:tabs>
                <w:tab w:val="left" w:pos="4253"/>
              </w:tabs>
              <w:jc w:val="both"/>
              <w:rPr>
                <w:rFonts w:ascii="Arial" w:hAnsi="Arial" w:cs="Arial"/>
                <w:color w:val="000000"/>
                <w:lang w:val="es-MX"/>
              </w:rPr>
            </w:pPr>
          </w:p>
        </w:tc>
      </w:tr>
      <w:tr w:rsidR="0028353F" w:rsidRPr="00D1504D" w14:paraId="72FD42CC" w14:textId="77777777" w:rsidTr="00535126">
        <w:tc>
          <w:tcPr>
            <w:tcW w:w="522" w:type="dxa"/>
          </w:tcPr>
          <w:p w14:paraId="19A3FFAC" w14:textId="77777777" w:rsidR="0028353F" w:rsidRPr="00D1504D" w:rsidRDefault="0028353F" w:rsidP="00535126">
            <w:pPr>
              <w:pStyle w:val="Prrafodelista"/>
              <w:tabs>
                <w:tab w:val="left" w:pos="4253"/>
              </w:tabs>
              <w:ind w:left="0"/>
              <w:jc w:val="both"/>
              <w:rPr>
                <w:rFonts w:ascii="Arial" w:hAnsi="Arial" w:cs="Arial"/>
                <w:color w:val="000000"/>
                <w:lang w:val="es-MX"/>
              </w:rPr>
            </w:pPr>
            <w:r w:rsidRPr="00D1504D">
              <w:rPr>
                <w:rFonts w:ascii="Arial" w:hAnsi="Arial" w:cs="Arial"/>
                <w:color w:val="000000"/>
                <w:lang w:val="es-MX"/>
              </w:rPr>
              <w:t>1.2</w:t>
            </w:r>
          </w:p>
        </w:tc>
        <w:tc>
          <w:tcPr>
            <w:tcW w:w="6707" w:type="dxa"/>
          </w:tcPr>
          <w:p w14:paraId="43941851" w14:textId="03C5FD7A" w:rsidR="0028353F" w:rsidRPr="007C761D" w:rsidRDefault="0028353F" w:rsidP="00535126">
            <w:pPr>
              <w:tabs>
                <w:tab w:val="left" w:pos="4253"/>
              </w:tabs>
              <w:jc w:val="both"/>
              <w:rPr>
                <w:rFonts w:ascii="Arial" w:eastAsia="Times New Roman" w:hAnsi="Arial" w:cs="Arial"/>
                <w:lang w:val="es-MX" w:eastAsia="es-CR"/>
              </w:rPr>
            </w:pPr>
            <w:r w:rsidRPr="007C761D">
              <w:rPr>
                <w:rFonts w:ascii="Arial" w:eastAsia="Times New Roman" w:hAnsi="Arial" w:cs="Arial"/>
                <w:lang w:val="es-MX" w:eastAsia="es-CR"/>
              </w:rPr>
              <w:t>La Unidad Ejecutora remitirá a la Vicerrectoría respectiva, un oficio adjuntando el cuadro en</w:t>
            </w:r>
            <w:r w:rsidRPr="007C761D">
              <w:rPr>
                <w:rFonts w:ascii="Arial" w:hAnsi="Arial" w:cs="Arial"/>
                <w:color w:val="000000"/>
                <w:lang w:val="es-MX"/>
              </w:rPr>
              <w:t xml:space="preserve"> Excel </w:t>
            </w:r>
            <w:r w:rsidRPr="007C761D">
              <w:rPr>
                <w:rFonts w:ascii="Arial" w:eastAsia="Times New Roman" w:hAnsi="Arial" w:cs="Arial"/>
                <w:lang w:val="es-MX" w:eastAsia="es-CR"/>
              </w:rPr>
              <w:t>con el detalle de los montos por ajustar</w:t>
            </w:r>
            <w:r w:rsidR="007C761D">
              <w:rPr>
                <w:rFonts w:ascii="Arial" w:eastAsia="Times New Roman" w:hAnsi="Arial" w:cs="Arial"/>
                <w:lang w:val="es-MX" w:eastAsia="es-CR"/>
              </w:rPr>
              <w:t xml:space="preserve"> y</w:t>
            </w:r>
            <w:r w:rsidR="007C761D" w:rsidRPr="007C761D">
              <w:rPr>
                <w:rFonts w:ascii="Arial" w:eastAsia="Times New Roman" w:hAnsi="Arial" w:cs="Arial"/>
                <w:lang w:val="es-MX" w:eastAsia="es-CR"/>
              </w:rPr>
              <w:t xml:space="preserve"> avalado por el Director.</w:t>
            </w:r>
          </w:p>
          <w:p w14:paraId="2375A30F" w14:textId="77777777" w:rsidR="0028353F" w:rsidRPr="007C761D" w:rsidRDefault="0028353F" w:rsidP="00535126">
            <w:pPr>
              <w:tabs>
                <w:tab w:val="left" w:pos="4253"/>
              </w:tabs>
              <w:jc w:val="both"/>
              <w:rPr>
                <w:rFonts w:ascii="Arial" w:hAnsi="Arial" w:cs="Arial"/>
                <w:color w:val="000000"/>
                <w:lang w:val="es-MX"/>
              </w:rPr>
            </w:pPr>
            <w:r w:rsidRPr="007C761D">
              <w:rPr>
                <w:rFonts w:ascii="Arial" w:eastAsia="Times New Roman" w:hAnsi="Arial" w:cs="Arial"/>
                <w:lang w:val="es-MX" w:eastAsia="es-CR"/>
              </w:rPr>
              <w:t xml:space="preserve"> </w:t>
            </w:r>
          </w:p>
        </w:tc>
      </w:tr>
      <w:tr w:rsidR="0028353F" w:rsidRPr="00D1504D" w14:paraId="3E28E66C" w14:textId="77777777" w:rsidTr="00535126">
        <w:tc>
          <w:tcPr>
            <w:tcW w:w="522" w:type="dxa"/>
          </w:tcPr>
          <w:p w14:paraId="78F88FD5" w14:textId="77777777" w:rsidR="0028353F" w:rsidRPr="00D1504D" w:rsidRDefault="0028353F" w:rsidP="00535126">
            <w:pPr>
              <w:pStyle w:val="Prrafodelista"/>
              <w:tabs>
                <w:tab w:val="left" w:pos="4253"/>
              </w:tabs>
              <w:ind w:left="0"/>
              <w:jc w:val="both"/>
              <w:rPr>
                <w:rFonts w:ascii="Arial" w:hAnsi="Arial" w:cs="Arial"/>
                <w:color w:val="000000"/>
                <w:lang w:val="es-MX"/>
              </w:rPr>
            </w:pPr>
            <w:r w:rsidRPr="00D1504D">
              <w:rPr>
                <w:rFonts w:ascii="Arial" w:hAnsi="Arial" w:cs="Arial"/>
                <w:color w:val="000000"/>
                <w:lang w:val="es-MX"/>
              </w:rPr>
              <w:t>1.3</w:t>
            </w:r>
          </w:p>
        </w:tc>
        <w:tc>
          <w:tcPr>
            <w:tcW w:w="6707" w:type="dxa"/>
          </w:tcPr>
          <w:p w14:paraId="72B2C4CE" w14:textId="77777777" w:rsidR="0028353F" w:rsidRPr="007C761D" w:rsidRDefault="0028353F" w:rsidP="00535126">
            <w:pPr>
              <w:tabs>
                <w:tab w:val="left" w:pos="4253"/>
              </w:tabs>
              <w:jc w:val="both"/>
              <w:rPr>
                <w:rFonts w:ascii="Arial" w:hAnsi="Arial" w:cs="Arial"/>
                <w:lang w:val="es-MX"/>
              </w:rPr>
            </w:pPr>
            <w:r w:rsidRPr="007C761D">
              <w:rPr>
                <w:rFonts w:ascii="Arial" w:eastAsia="Times New Roman" w:hAnsi="Arial" w:cs="Arial"/>
                <w:lang w:val="es-MX" w:eastAsia="es-CR"/>
              </w:rPr>
              <w:t xml:space="preserve">Mediante oficio, la Vicerrectoría comunicará a OAF la aprobación para la disminución de las </w:t>
            </w:r>
            <w:r w:rsidRPr="007C761D">
              <w:rPr>
                <w:rFonts w:ascii="Arial" w:eastAsia="Times New Roman" w:hAnsi="Arial" w:cs="Arial"/>
                <w:lang w:eastAsia="es-CR"/>
              </w:rPr>
              <w:t xml:space="preserve">partidas por </w:t>
            </w:r>
            <w:r w:rsidRPr="007C761D">
              <w:rPr>
                <w:rFonts w:ascii="Arial" w:hAnsi="Arial" w:cs="Arial"/>
                <w:lang w:val="es-MX"/>
              </w:rPr>
              <w:t>objeto del gasto y montos que serán ajustados para cada Unidad Ejecutora adscrita.</w:t>
            </w:r>
          </w:p>
          <w:p w14:paraId="4F34F85D" w14:textId="77777777" w:rsidR="0028353F" w:rsidRPr="007C761D" w:rsidRDefault="0028353F" w:rsidP="00535126">
            <w:pPr>
              <w:tabs>
                <w:tab w:val="left" w:pos="4253"/>
              </w:tabs>
              <w:jc w:val="both"/>
              <w:rPr>
                <w:rFonts w:ascii="Arial" w:hAnsi="Arial" w:cs="Arial"/>
                <w:lang w:val="es-MX"/>
              </w:rPr>
            </w:pPr>
          </w:p>
        </w:tc>
      </w:tr>
      <w:tr w:rsidR="0028353F" w:rsidRPr="00D1504D" w14:paraId="7EB1B9EF" w14:textId="77777777" w:rsidTr="00535126">
        <w:tc>
          <w:tcPr>
            <w:tcW w:w="522" w:type="dxa"/>
          </w:tcPr>
          <w:p w14:paraId="421C8085" w14:textId="77777777" w:rsidR="0028353F" w:rsidRPr="00D1504D" w:rsidRDefault="0028353F" w:rsidP="00535126">
            <w:pPr>
              <w:pStyle w:val="Prrafodelista"/>
              <w:tabs>
                <w:tab w:val="left" w:pos="4253"/>
              </w:tabs>
              <w:ind w:left="0"/>
              <w:jc w:val="both"/>
              <w:rPr>
                <w:rFonts w:ascii="Arial" w:hAnsi="Arial" w:cs="Arial"/>
                <w:color w:val="000000"/>
                <w:lang w:val="es-MX"/>
              </w:rPr>
            </w:pPr>
            <w:r w:rsidRPr="00D1504D">
              <w:rPr>
                <w:rFonts w:ascii="Arial" w:hAnsi="Arial" w:cs="Arial"/>
                <w:color w:val="000000"/>
                <w:lang w:val="es-MX"/>
              </w:rPr>
              <w:t>1.4</w:t>
            </w:r>
          </w:p>
        </w:tc>
        <w:tc>
          <w:tcPr>
            <w:tcW w:w="6707" w:type="dxa"/>
          </w:tcPr>
          <w:p w14:paraId="5A7B4C80" w14:textId="77777777" w:rsidR="0028353F" w:rsidRPr="007C761D" w:rsidRDefault="0028353F" w:rsidP="00535126">
            <w:pPr>
              <w:tabs>
                <w:tab w:val="left" w:pos="4253"/>
              </w:tabs>
              <w:jc w:val="both"/>
              <w:rPr>
                <w:rFonts w:ascii="Arial" w:hAnsi="Arial" w:cs="Arial"/>
                <w:color w:val="000000"/>
                <w:lang w:val="es-MX"/>
              </w:rPr>
            </w:pPr>
            <w:r w:rsidRPr="007C761D">
              <w:rPr>
                <w:rFonts w:ascii="Arial" w:hAnsi="Arial" w:cs="Arial"/>
                <w:color w:val="000000"/>
                <w:lang w:val="es-MX"/>
              </w:rPr>
              <w:t xml:space="preserve">La OAF tramita la disminución </w:t>
            </w:r>
            <w:r w:rsidRPr="007C761D">
              <w:rPr>
                <w:rFonts w:ascii="Arial" w:eastAsia="Times New Roman" w:hAnsi="Arial" w:cs="Arial"/>
                <w:lang w:val="es-MX" w:eastAsia="es-CR"/>
              </w:rPr>
              <w:t xml:space="preserve">de las </w:t>
            </w:r>
            <w:r w:rsidRPr="007C761D">
              <w:rPr>
                <w:rFonts w:ascii="Arial" w:eastAsia="Times New Roman" w:hAnsi="Arial" w:cs="Arial"/>
                <w:lang w:eastAsia="es-CR"/>
              </w:rPr>
              <w:t xml:space="preserve">partidas por </w:t>
            </w:r>
            <w:r w:rsidRPr="007C761D">
              <w:rPr>
                <w:rFonts w:ascii="Arial" w:hAnsi="Arial" w:cs="Arial"/>
                <w:color w:val="000000"/>
                <w:lang w:val="es-MX"/>
              </w:rPr>
              <w:t>objeto del gasto y montos planteados por las Unidades Ejecutoras y aprobados por las Vicerrectorías respectivas.</w:t>
            </w:r>
          </w:p>
          <w:p w14:paraId="4732B0B4" w14:textId="77777777" w:rsidR="0028353F" w:rsidRPr="007C761D" w:rsidRDefault="0028353F" w:rsidP="00535126">
            <w:pPr>
              <w:tabs>
                <w:tab w:val="left" w:pos="4253"/>
              </w:tabs>
              <w:jc w:val="both"/>
              <w:rPr>
                <w:rFonts w:ascii="Arial" w:hAnsi="Arial" w:cs="Arial"/>
                <w:color w:val="000000"/>
                <w:lang w:val="es-MX"/>
              </w:rPr>
            </w:pPr>
          </w:p>
        </w:tc>
      </w:tr>
    </w:tbl>
    <w:p w14:paraId="726B6F98" w14:textId="77777777" w:rsidR="0028353F" w:rsidRPr="001371A7" w:rsidRDefault="0028353F" w:rsidP="00151084">
      <w:pPr>
        <w:pStyle w:val="Prrafodelista"/>
        <w:tabs>
          <w:tab w:val="left" w:pos="9467"/>
        </w:tabs>
        <w:spacing w:after="0" w:line="240" w:lineRule="auto"/>
        <w:ind w:left="1440"/>
        <w:jc w:val="both"/>
        <w:rPr>
          <w:rFonts w:ascii="Arial" w:eastAsia="Calibri" w:hAnsi="Arial" w:cs="Arial"/>
          <w:sz w:val="18"/>
          <w:szCs w:val="18"/>
        </w:rPr>
      </w:pPr>
    </w:p>
    <w:sectPr w:rsidR="0028353F" w:rsidRPr="001371A7" w:rsidSect="00A64697">
      <w:headerReference w:type="default" r:id="rId8"/>
      <w:footerReference w:type="default" r:id="rId9"/>
      <w:headerReference w:type="first" r:id="rId10"/>
      <w:footerReference w:type="first" r:id="rId11"/>
      <w:pgSz w:w="12240" w:h="15840" w:code="1"/>
      <w:pgMar w:top="851" w:right="1701" w:bottom="851"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7C06" w14:textId="77777777" w:rsidR="00BF1F19" w:rsidRDefault="00BF1F19">
      <w:pPr>
        <w:spacing w:after="0" w:line="240" w:lineRule="auto"/>
      </w:pPr>
      <w:r>
        <w:separator/>
      </w:r>
    </w:p>
  </w:endnote>
  <w:endnote w:type="continuationSeparator" w:id="0">
    <w:p w14:paraId="3D573F8A" w14:textId="77777777" w:rsidR="00BF1F19" w:rsidRDefault="00B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1C82" w14:textId="77777777" w:rsidR="00910C04" w:rsidRDefault="00910C04" w:rsidP="002A5E4D">
    <w:pPr>
      <w:pStyle w:val="NormalWeb"/>
      <w:jc w:val="center"/>
      <w:rPr>
        <w:rFonts w:ascii="Arial" w:hAnsi="Arial" w:cs="Arial"/>
        <w:sz w:val="20"/>
        <w:szCs w:val="20"/>
      </w:rPr>
    </w:pPr>
  </w:p>
  <w:p w14:paraId="175286C3" w14:textId="77777777" w:rsidR="00910C04" w:rsidRPr="00FB63D7" w:rsidRDefault="00910C04" w:rsidP="00FB63D7">
    <w:pPr>
      <w:pStyle w:val="NormalWeb"/>
      <w:spacing w:before="0" w:beforeAutospacing="0" w:after="0"/>
      <w:rPr>
        <w:rFonts w:ascii="Arial" w:hAnsi="Arial" w:cs="Arial"/>
        <w:sz w:val="18"/>
        <w:szCs w:val="18"/>
      </w:rPr>
    </w:pPr>
    <w:r>
      <w:rPr>
        <w:rFonts w:ascii="Arial" w:hAnsi="Arial" w:cs="Arial"/>
        <w:noProof/>
        <w:sz w:val="20"/>
        <w:szCs w:val="20"/>
        <w:lang w:val="en-US" w:eastAsia="en-US"/>
      </w:rPr>
      <mc:AlternateContent>
        <mc:Choice Requires="wps">
          <w:drawing>
            <wp:anchor distT="0" distB="0" distL="114300" distR="114300" simplePos="0" relativeHeight="251660288" behindDoc="0" locked="0" layoutInCell="1" allowOverlap="1" wp14:anchorId="235CFA2C" wp14:editId="40F629AC">
              <wp:simplePos x="0" y="0"/>
              <wp:positionH relativeFrom="column">
                <wp:posOffset>-137160</wp:posOffset>
              </wp:positionH>
              <wp:positionV relativeFrom="paragraph">
                <wp:posOffset>66040</wp:posOffset>
              </wp:positionV>
              <wp:extent cx="58293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cto 7" o:spid="_x0000_s2049" style="mso-wrap-distance-bottom:0;mso-wrap-distance-left:9pt;mso-wrap-distance-right:9pt;mso-wrap-distance-top:0;mso-wrap-style:square;position:absolute;visibility:visible;z-index:251661312" from="-10.8pt,5.2pt" to="448.2pt,5.2pt" strokecolor="black" strokeweight="0.5pt">
              <v:stroke joinstyle="miter"/>
            </v:line>
          </w:pict>
        </mc:Fallback>
      </mc:AlternateContent>
    </w:r>
    <w:r>
      <w:rPr>
        <w:rFonts w:ascii="Arial" w:hAnsi="Arial" w:cs="Arial"/>
        <w:sz w:val="20"/>
        <w:szCs w:val="20"/>
      </w:rPr>
      <w:br/>
    </w:r>
    <w:r w:rsidRPr="00FB63D7">
      <w:rPr>
        <w:rFonts w:ascii="Arial" w:hAnsi="Arial" w:cs="Arial"/>
        <w:sz w:val="18"/>
        <w:szCs w:val="18"/>
      </w:rPr>
      <w:t xml:space="preserve">Teléfonos: 2511-1123/4541   Sitio web: </w:t>
    </w:r>
    <w:hyperlink r:id="rId1" w:history="1">
      <w:r w:rsidRPr="00FB63D7">
        <w:rPr>
          <w:rStyle w:val="Hipervnculo"/>
          <w:rFonts w:ascii="Arial" w:hAnsi="Arial" w:cs="Arial"/>
          <w:sz w:val="18"/>
          <w:szCs w:val="18"/>
        </w:rPr>
        <w:t>www.oaf.ucr.ac.cr</w:t>
      </w:r>
    </w:hyperlink>
    <w:r w:rsidRPr="00FB63D7">
      <w:rPr>
        <w:rFonts w:ascii="Arial" w:hAnsi="Arial" w:cs="Arial"/>
        <w:sz w:val="18"/>
        <w:szCs w:val="18"/>
      </w:rPr>
      <w:t xml:space="preserve">  </w:t>
    </w:r>
    <w:r>
      <w:rPr>
        <w:rFonts w:ascii="Arial" w:hAnsi="Arial" w:cs="Arial"/>
        <w:sz w:val="18"/>
        <w:szCs w:val="18"/>
      </w:rPr>
      <w:t xml:space="preserve">   </w:t>
    </w:r>
    <w:r w:rsidRPr="00FB63D7">
      <w:rPr>
        <w:rFonts w:ascii="Arial" w:hAnsi="Arial" w:cs="Arial"/>
        <w:sz w:val="18"/>
        <w:szCs w:val="18"/>
      </w:rPr>
      <w:t>Correo electrónico: ventanilla.oaf@ucr.ac.cr</w:t>
    </w:r>
  </w:p>
  <w:p w14:paraId="5408B105" w14:textId="77777777" w:rsidR="00910C04" w:rsidRPr="002A5E4D" w:rsidRDefault="00910C04" w:rsidP="002A5E4D">
    <w:pPr>
      <w:pStyle w:val="NormalWeb"/>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261B" w14:textId="77777777" w:rsidR="00910C04" w:rsidRPr="00FB63D7" w:rsidRDefault="00910C04" w:rsidP="007E4E4D">
    <w:pPr>
      <w:pStyle w:val="NormalWeb"/>
      <w:jc w:val="right"/>
      <w:rPr>
        <w:rFonts w:ascii="Arial" w:hAnsi="Arial" w:cs="Arial"/>
        <w:sz w:val="18"/>
        <w:szCs w:val="18"/>
      </w:rPr>
    </w:pPr>
    <w:r>
      <w:rPr>
        <w:rFonts w:ascii="Arial" w:hAnsi="Arial" w:cs="Arial"/>
        <w:noProof/>
        <w:sz w:val="20"/>
        <w:szCs w:val="20"/>
        <w:lang w:val="en-US" w:eastAsia="en-US"/>
      </w:rPr>
      <mc:AlternateContent>
        <mc:Choice Requires="wps">
          <w:drawing>
            <wp:anchor distT="0" distB="0" distL="114300" distR="114300" simplePos="0" relativeHeight="251658240" behindDoc="0" locked="0" layoutInCell="1" allowOverlap="1" wp14:anchorId="54287CFF" wp14:editId="14AFC7E0">
              <wp:simplePos x="0" y="0"/>
              <wp:positionH relativeFrom="margin">
                <wp:posOffset>-89535</wp:posOffset>
              </wp:positionH>
              <wp:positionV relativeFrom="paragraph">
                <wp:posOffset>686435</wp:posOffset>
              </wp:positionV>
              <wp:extent cx="582930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1C67B" id="Conector recto 6"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7.05pt,54.05pt" to="451.9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hUmQEAAIgDAAAOAAAAZHJzL2Uyb0RvYy54bWysU02P0zAQvSPxHyzfadIi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" strokecolor="black [3200]" strokeweight=".5pt">
              <v:stroke joinstyle="miter"/>
              <w10:wrap anchorx="margin"/>
            </v:line>
          </w:pict>
        </mc:Fallback>
      </mc:AlternateContent>
    </w:r>
    <w:r>
      <w:rPr>
        <w:rFonts w:ascii="Arial" w:hAnsi="Arial" w:cs="Arial"/>
        <w:noProof/>
        <w:sz w:val="20"/>
        <w:szCs w:val="20"/>
        <w:lang w:val="en-US" w:eastAsia="en-US"/>
      </w:rPr>
      <w:drawing>
        <wp:inline distT="0" distB="0" distL="0" distR="0" wp14:anchorId="0D331C8E" wp14:editId="7CDB2CAE">
          <wp:extent cx="709470" cy="72000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79404" name="UCR2022color.jpg"/>
                  <pic:cNvPicPr/>
                </pic:nvPicPr>
                <pic:blipFill>
                  <a:blip r:embed="rId1">
                    <a:extLst>
                      <a:ext uri="{28A0092B-C50C-407E-A947-70E740481C1C}">
                        <a14:useLocalDpi xmlns:a14="http://schemas.microsoft.com/office/drawing/2010/main" val="0"/>
                      </a:ext>
                    </a:extLst>
                  </a:blip>
                  <a:stretch>
                    <a:fillRect/>
                  </a:stretch>
                </pic:blipFill>
                <pic:spPr>
                  <a:xfrm>
                    <a:off x="0" y="0"/>
                    <a:ext cx="709470" cy="720000"/>
                  </a:xfrm>
                  <a:prstGeom prst="rect">
                    <a:avLst/>
                  </a:prstGeom>
                </pic:spPr>
              </pic:pic>
            </a:graphicData>
          </a:graphic>
        </wp:inline>
      </w:drawing>
    </w:r>
    <w:r>
      <w:rPr>
        <w:rFonts w:ascii="Arial" w:hAnsi="Arial" w:cs="Arial"/>
        <w:sz w:val="20"/>
        <w:szCs w:val="20"/>
      </w:rPr>
      <w:br/>
    </w:r>
    <w:r w:rsidRPr="00FB63D7">
      <w:rPr>
        <w:rFonts w:ascii="Arial" w:hAnsi="Arial" w:cs="Arial"/>
        <w:sz w:val="18"/>
        <w:szCs w:val="18"/>
      </w:rPr>
      <w:t xml:space="preserve">Teléfonos: 2511-1123/4541   Sitio web: </w:t>
    </w:r>
    <w:hyperlink r:id="rId2" w:history="1">
      <w:r w:rsidRPr="00FB63D7">
        <w:rPr>
          <w:rStyle w:val="Hipervnculo"/>
          <w:rFonts w:ascii="Arial" w:hAnsi="Arial" w:cs="Arial"/>
          <w:sz w:val="18"/>
          <w:szCs w:val="18"/>
        </w:rPr>
        <w:t>www.oaf.ucr.ac.cr</w:t>
      </w:r>
    </w:hyperlink>
    <w:r w:rsidRPr="00FB63D7">
      <w:rPr>
        <w:rFonts w:ascii="Arial" w:hAnsi="Arial" w:cs="Arial"/>
        <w:sz w:val="18"/>
        <w:szCs w:val="18"/>
      </w:rPr>
      <w:t xml:space="preserve"> </w:t>
    </w:r>
    <w:r>
      <w:rPr>
        <w:rFonts w:ascii="Arial" w:hAnsi="Arial" w:cs="Arial"/>
        <w:sz w:val="18"/>
        <w:szCs w:val="18"/>
      </w:rPr>
      <w:t xml:space="preserve">   </w:t>
    </w:r>
    <w:r w:rsidRPr="00FB63D7">
      <w:rPr>
        <w:rFonts w:ascii="Arial" w:hAnsi="Arial" w:cs="Arial"/>
        <w:sz w:val="18"/>
        <w:szCs w:val="18"/>
      </w:rPr>
      <w:t xml:space="preserve"> Correo electrónico: ventanilla.oaf@ucr.ac.cr</w:t>
    </w:r>
  </w:p>
  <w:p w14:paraId="2A53CA47" w14:textId="77777777" w:rsidR="00910C04" w:rsidRDefault="00910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A0DB" w14:textId="77777777" w:rsidR="00BF1F19" w:rsidRDefault="00BF1F19">
      <w:pPr>
        <w:spacing w:after="0" w:line="240" w:lineRule="auto"/>
      </w:pPr>
      <w:r>
        <w:separator/>
      </w:r>
    </w:p>
  </w:footnote>
  <w:footnote w:type="continuationSeparator" w:id="0">
    <w:p w14:paraId="3134DDCF" w14:textId="77777777" w:rsidR="00BF1F19" w:rsidRDefault="00BF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10C04" w14:paraId="4E1C40F8" w14:textId="77777777" w:rsidTr="00910C04">
      <w:tc>
        <w:tcPr>
          <w:tcW w:w="4414" w:type="dxa"/>
        </w:tcPr>
        <w:p w14:paraId="5A4A2777" w14:textId="77777777" w:rsidR="00910C04" w:rsidRDefault="00910C04" w:rsidP="00A64697">
          <w:pPr>
            <w:pStyle w:val="Encabezado"/>
          </w:pPr>
          <w:r>
            <w:rPr>
              <w:noProof/>
              <w:lang w:val="en-US"/>
            </w:rPr>
            <w:drawing>
              <wp:inline distT="0" distB="0" distL="0" distR="0" wp14:anchorId="4C020B27" wp14:editId="0572B488">
                <wp:extent cx="1800000" cy="79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14:paraId="69D8F005" w14:textId="77777777" w:rsidR="00910C04" w:rsidRDefault="00910C04" w:rsidP="00A64697">
          <w:pPr>
            <w:pStyle w:val="Encabezado"/>
            <w:jc w:val="right"/>
            <w:rPr>
              <w:noProof/>
              <w:lang w:eastAsia="es-CR"/>
            </w:rPr>
          </w:pPr>
        </w:p>
        <w:p w14:paraId="427CF052" w14:textId="77777777" w:rsidR="00910C04" w:rsidRDefault="00910C04" w:rsidP="00A64697">
          <w:pPr>
            <w:pStyle w:val="Encabezado"/>
            <w:jc w:val="right"/>
          </w:pPr>
          <w:r>
            <w:rPr>
              <w:noProof/>
              <w:lang w:val="en-US"/>
            </w:rPr>
            <w:drawing>
              <wp:inline distT="0" distB="0" distL="0" distR="0" wp14:anchorId="1C848553" wp14:editId="22FB724F">
                <wp:extent cx="1661163" cy="43281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94713" name="OA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163" cy="432817"/>
                        </a:xfrm>
                        <a:prstGeom prst="rect">
                          <a:avLst/>
                        </a:prstGeom>
                      </pic:spPr>
                    </pic:pic>
                  </a:graphicData>
                </a:graphic>
              </wp:inline>
            </w:drawing>
          </w:r>
        </w:p>
      </w:tc>
    </w:tr>
  </w:tbl>
  <w:p w14:paraId="2CF5595D" w14:textId="16E3FE7E" w:rsidR="00910C04" w:rsidRDefault="00910C04">
    <w:pPr>
      <w:pStyle w:val="Encabezado"/>
      <w:rPr>
        <w:rFonts w:ascii="Arial" w:hAnsi="Arial" w:cs="Arial"/>
        <w:sz w:val="20"/>
        <w:szCs w:val="20"/>
      </w:rPr>
    </w:pPr>
    <w:r w:rsidRPr="004417AD">
      <w:rPr>
        <w:rFonts w:ascii="Arial" w:hAnsi="Arial" w:cs="Arial"/>
        <w:noProof/>
        <w:sz w:val="20"/>
        <w:szCs w:val="20"/>
        <w:highlight w:val="yellow"/>
      </w:rPr>
      <w:t xml:space="preserve">Circular </w:t>
    </w:r>
    <w:r w:rsidR="004417AD" w:rsidRPr="004417AD">
      <w:rPr>
        <w:rFonts w:ascii="Arial" w:hAnsi="Arial" w:cs="Arial"/>
        <w:noProof/>
        <w:sz w:val="20"/>
        <w:szCs w:val="20"/>
        <w:highlight w:val="yellow"/>
      </w:rPr>
      <w:t>VRA</w:t>
    </w:r>
    <w:r w:rsidRPr="004417AD">
      <w:rPr>
        <w:rFonts w:ascii="Arial" w:hAnsi="Arial" w:cs="Arial"/>
        <w:noProof/>
        <w:sz w:val="20"/>
        <w:szCs w:val="20"/>
        <w:highlight w:val="yellow"/>
      </w:rPr>
      <w:t>-</w:t>
    </w:r>
    <w:r w:rsidR="004417AD" w:rsidRPr="004417AD">
      <w:rPr>
        <w:rFonts w:ascii="Arial" w:hAnsi="Arial" w:cs="Arial"/>
        <w:noProof/>
        <w:sz w:val="20"/>
        <w:szCs w:val="20"/>
        <w:highlight w:val="yellow"/>
      </w:rPr>
      <w:t>XX</w:t>
    </w:r>
    <w:r w:rsidRPr="004417AD">
      <w:rPr>
        <w:rFonts w:ascii="Arial" w:hAnsi="Arial" w:cs="Arial"/>
        <w:noProof/>
        <w:sz w:val="20"/>
        <w:szCs w:val="20"/>
        <w:highlight w:val="yellow"/>
      </w:rPr>
      <w:t>-2022</w:t>
    </w:r>
  </w:p>
  <w:p w14:paraId="5B721482" w14:textId="4224B818" w:rsidR="00910C04" w:rsidRDefault="00910C04">
    <w:pPr>
      <w:pStyle w:val="Encabezado"/>
      <w:rPr>
        <w:rFonts w:ascii="Arial" w:hAnsi="Arial" w:cs="Arial"/>
        <w:sz w:val="20"/>
        <w:szCs w:val="20"/>
      </w:rPr>
    </w:pPr>
    <w:r>
      <w:rPr>
        <w:rFonts w:ascii="Arial" w:hAnsi="Arial" w:cs="Arial"/>
        <w:sz w:val="20"/>
        <w:szCs w:val="20"/>
      </w:rPr>
      <w:t xml:space="preserve">Página </w:t>
    </w:r>
    <w:r w:rsidRPr="002A5E4D">
      <w:rPr>
        <w:rFonts w:ascii="Arial" w:hAnsi="Arial" w:cs="Arial"/>
        <w:sz w:val="20"/>
        <w:szCs w:val="20"/>
      </w:rPr>
      <w:fldChar w:fldCharType="begin"/>
    </w:r>
    <w:r w:rsidRPr="002A5E4D">
      <w:rPr>
        <w:rFonts w:ascii="Arial" w:hAnsi="Arial" w:cs="Arial"/>
        <w:sz w:val="20"/>
        <w:szCs w:val="20"/>
      </w:rPr>
      <w:instrText>PAGE   \* MERGEFORMAT</w:instrText>
    </w:r>
    <w:r w:rsidRPr="002A5E4D">
      <w:rPr>
        <w:rFonts w:ascii="Arial" w:hAnsi="Arial" w:cs="Arial"/>
        <w:sz w:val="20"/>
        <w:szCs w:val="20"/>
      </w:rPr>
      <w:fldChar w:fldCharType="separate"/>
    </w:r>
    <w:r w:rsidR="00FC026F" w:rsidRPr="00FC026F">
      <w:rPr>
        <w:rFonts w:ascii="Arial" w:hAnsi="Arial" w:cs="Arial"/>
        <w:noProof/>
        <w:sz w:val="20"/>
        <w:szCs w:val="20"/>
        <w:lang w:val="es-ES"/>
      </w:rPr>
      <w:t>4</w:t>
    </w:r>
    <w:r w:rsidRPr="002A5E4D">
      <w:rPr>
        <w:rFonts w:ascii="Arial" w:hAnsi="Arial" w:cs="Arial"/>
        <w:sz w:val="20"/>
        <w:szCs w:val="20"/>
      </w:rPr>
      <w:fldChar w:fldCharType="end"/>
    </w:r>
  </w:p>
  <w:p w14:paraId="4289A342" w14:textId="77777777" w:rsidR="00910C04" w:rsidRPr="002A5E4D" w:rsidRDefault="00910C04">
    <w:pPr>
      <w:pStyle w:val="Encabezado"/>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10C04" w14:paraId="1FBD7EA6" w14:textId="77777777" w:rsidTr="00A64697">
      <w:tc>
        <w:tcPr>
          <w:tcW w:w="4414" w:type="dxa"/>
        </w:tcPr>
        <w:p w14:paraId="6749D857" w14:textId="77777777" w:rsidR="00910C04" w:rsidRDefault="00910C04">
          <w:pPr>
            <w:pStyle w:val="Encabezado"/>
          </w:pPr>
          <w:r>
            <w:rPr>
              <w:noProof/>
              <w:lang w:val="en-US"/>
            </w:rPr>
            <w:drawing>
              <wp:inline distT="0" distB="0" distL="0" distR="0" wp14:anchorId="3EA99476" wp14:editId="0AB138B4">
                <wp:extent cx="1800000" cy="791075"/>
                <wp:effectExtent l="0" t="0" r="0" b="9525"/>
                <wp:docPr id="17749035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715737"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14:paraId="16FD74A0" w14:textId="77777777" w:rsidR="00910C04" w:rsidRDefault="00910C04" w:rsidP="00A64697">
          <w:pPr>
            <w:pStyle w:val="Encabezado"/>
            <w:jc w:val="right"/>
            <w:rPr>
              <w:noProof/>
              <w:lang w:eastAsia="es-CR"/>
            </w:rPr>
          </w:pPr>
        </w:p>
        <w:p w14:paraId="146FCAA3" w14:textId="77777777" w:rsidR="00910C04" w:rsidRDefault="00910C04" w:rsidP="00A64697">
          <w:pPr>
            <w:pStyle w:val="Encabezado"/>
            <w:jc w:val="right"/>
          </w:pPr>
          <w:r>
            <w:rPr>
              <w:noProof/>
              <w:lang w:val="en-US"/>
            </w:rPr>
            <w:drawing>
              <wp:inline distT="0" distB="0" distL="0" distR="0" wp14:anchorId="4BD90FF5" wp14:editId="6145F72E">
                <wp:extent cx="1661163" cy="432817"/>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180546" name="OA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163" cy="432817"/>
                        </a:xfrm>
                        <a:prstGeom prst="rect">
                          <a:avLst/>
                        </a:prstGeom>
                      </pic:spPr>
                    </pic:pic>
                  </a:graphicData>
                </a:graphic>
              </wp:inline>
            </w:drawing>
          </w:r>
        </w:p>
      </w:tc>
    </w:tr>
  </w:tbl>
  <w:p w14:paraId="43B058F5" w14:textId="77777777" w:rsidR="00910C04" w:rsidRDefault="00910C04" w:rsidP="00443A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BCB"/>
    <w:multiLevelType w:val="multilevel"/>
    <w:tmpl w:val="895274B0"/>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1" w15:restartNumberingAfterBreak="0">
    <w:nsid w:val="05DB4327"/>
    <w:multiLevelType w:val="hybridMultilevel"/>
    <w:tmpl w:val="F49A7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F3686"/>
    <w:multiLevelType w:val="hybridMultilevel"/>
    <w:tmpl w:val="9F3689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94677B"/>
    <w:multiLevelType w:val="hybridMultilevel"/>
    <w:tmpl w:val="C7B28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8767EB"/>
    <w:multiLevelType w:val="multilevel"/>
    <w:tmpl w:val="895274B0"/>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5" w15:restartNumberingAfterBreak="0">
    <w:nsid w:val="27A360FE"/>
    <w:multiLevelType w:val="multilevel"/>
    <w:tmpl w:val="895274B0"/>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6" w15:restartNumberingAfterBreak="0">
    <w:nsid w:val="2ACF09EC"/>
    <w:multiLevelType w:val="hybridMultilevel"/>
    <w:tmpl w:val="A11A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814AD"/>
    <w:multiLevelType w:val="multilevel"/>
    <w:tmpl w:val="3BBC2C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C160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2635D8"/>
    <w:multiLevelType w:val="multilevel"/>
    <w:tmpl w:val="27401838"/>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10" w15:restartNumberingAfterBreak="0">
    <w:nsid w:val="71761843"/>
    <w:multiLevelType w:val="multilevel"/>
    <w:tmpl w:val="ED986E3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D6C34"/>
    <w:multiLevelType w:val="hybridMultilevel"/>
    <w:tmpl w:val="00A415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8EB12C6"/>
    <w:multiLevelType w:val="multilevel"/>
    <w:tmpl w:val="8FF2DEB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13" w15:restartNumberingAfterBreak="0">
    <w:nsid w:val="7C354575"/>
    <w:multiLevelType w:val="multilevel"/>
    <w:tmpl w:val="4748FE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num w:numId="1" w16cid:durableId="1149059220">
    <w:abstractNumId w:val="2"/>
  </w:num>
  <w:num w:numId="2" w16cid:durableId="1279334505">
    <w:abstractNumId w:val="3"/>
  </w:num>
  <w:num w:numId="3" w16cid:durableId="1095444240">
    <w:abstractNumId w:val="11"/>
  </w:num>
  <w:num w:numId="4" w16cid:durableId="480804411">
    <w:abstractNumId w:val="0"/>
  </w:num>
  <w:num w:numId="5" w16cid:durableId="1802187867">
    <w:abstractNumId w:val="8"/>
  </w:num>
  <w:num w:numId="6" w16cid:durableId="269165365">
    <w:abstractNumId w:val="5"/>
  </w:num>
  <w:num w:numId="7" w16cid:durableId="1233393549">
    <w:abstractNumId w:val="9"/>
  </w:num>
  <w:num w:numId="8" w16cid:durableId="1689212295">
    <w:abstractNumId w:val="1"/>
  </w:num>
  <w:num w:numId="9" w16cid:durableId="1509716181">
    <w:abstractNumId w:val="13"/>
  </w:num>
  <w:num w:numId="10" w16cid:durableId="1608076070">
    <w:abstractNumId w:val="12"/>
  </w:num>
  <w:num w:numId="11" w16cid:durableId="134371832">
    <w:abstractNumId w:val="6"/>
  </w:num>
  <w:num w:numId="12" w16cid:durableId="1640454201">
    <w:abstractNumId w:val="4"/>
  </w:num>
  <w:num w:numId="13" w16cid:durableId="1058482437">
    <w:abstractNumId w:val="10"/>
  </w:num>
  <w:num w:numId="14" w16cid:durableId="562640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97"/>
    <w:rsid w:val="00000F6C"/>
    <w:rsid w:val="00001225"/>
    <w:rsid w:val="0000432A"/>
    <w:rsid w:val="00030E23"/>
    <w:rsid w:val="00046459"/>
    <w:rsid w:val="0004697D"/>
    <w:rsid w:val="00050A2C"/>
    <w:rsid w:val="0005128D"/>
    <w:rsid w:val="000524AE"/>
    <w:rsid w:val="00057FB2"/>
    <w:rsid w:val="00064B60"/>
    <w:rsid w:val="00067E49"/>
    <w:rsid w:val="00071AC4"/>
    <w:rsid w:val="0007280E"/>
    <w:rsid w:val="00072908"/>
    <w:rsid w:val="00072D11"/>
    <w:rsid w:val="00073AEC"/>
    <w:rsid w:val="00082E9D"/>
    <w:rsid w:val="00083AAA"/>
    <w:rsid w:val="00087071"/>
    <w:rsid w:val="0009326C"/>
    <w:rsid w:val="000932D2"/>
    <w:rsid w:val="000A4773"/>
    <w:rsid w:val="000A6C43"/>
    <w:rsid w:val="000B6B27"/>
    <w:rsid w:val="000E51B3"/>
    <w:rsid w:val="000F021A"/>
    <w:rsid w:val="001162B4"/>
    <w:rsid w:val="00117135"/>
    <w:rsid w:val="00120E71"/>
    <w:rsid w:val="001236E0"/>
    <w:rsid w:val="001371A7"/>
    <w:rsid w:val="00143680"/>
    <w:rsid w:val="00151084"/>
    <w:rsid w:val="0016056F"/>
    <w:rsid w:val="001644FA"/>
    <w:rsid w:val="00166732"/>
    <w:rsid w:val="0017309E"/>
    <w:rsid w:val="00186896"/>
    <w:rsid w:val="00190DB2"/>
    <w:rsid w:val="0019176F"/>
    <w:rsid w:val="001B0F5B"/>
    <w:rsid w:val="001B5715"/>
    <w:rsid w:val="001C19CE"/>
    <w:rsid w:val="001D138D"/>
    <w:rsid w:val="001D2593"/>
    <w:rsid w:val="001E5F86"/>
    <w:rsid w:val="001E7A0F"/>
    <w:rsid w:val="001F41DC"/>
    <w:rsid w:val="00205A86"/>
    <w:rsid w:val="00207857"/>
    <w:rsid w:val="00220170"/>
    <w:rsid w:val="0022372C"/>
    <w:rsid w:val="00224229"/>
    <w:rsid w:val="00224577"/>
    <w:rsid w:val="002277BB"/>
    <w:rsid w:val="0023190B"/>
    <w:rsid w:val="002319BD"/>
    <w:rsid w:val="00232288"/>
    <w:rsid w:val="002336FE"/>
    <w:rsid w:val="0024249E"/>
    <w:rsid w:val="00254027"/>
    <w:rsid w:val="00257EB8"/>
    <w:rsid w:val="00267C7C"/>
    <w:rsid w:val="0028353F"/>
    <w:rsid w:val="00296598"/>
    <w:rsid w:val="0029683E"/>
    <w:rsid w:val="002A0F83"/>
    <w:rsid w:val="002A36DA"/>
    <w:rsid w:val="002A5E4D"/>
    <w:rsid w:val="002B72E9"/>
    <w:rsid w:val="002D31F0"/>
    <w:rsid w:val="002E1390"/>
    <w:rsid w:val="002E3B94"/>
    <w:rsid w:val="002F6637"/>
    <w:rsid w:val="003110CC"/>
    <w:rsid w:val="0031685B"/>
    <w:rsid w:val="00325D3F"/>
    <w:rsid w:val="00352219"/>
    <w:rsid w:val="00353CA2"/>
    <w:rsid w:val="00360EAA"/>
    <w:rsid w:val="003615D5"/>
    <w:rsid w:val="00365476"/>
    <w:rsid w:val="003852DA"/>
    <w:rsid w:val="0038543C"/>
    <w:rsid w:val="00397244"/>
    <w:rsid w:val="00397931"/>
    <w:rsid w:val="003A30AA"/>
    <w:rsid w:val="003A4655"/>
    <w:rsid w:val="003A65C0"/>
    <w:rsid w:val="003A7D00"/>
    <w:rsid w:val="003B47E3"/>
    <w:rsid w:val="003C18A9"/>
    <w:rsid w:val="003C559A"/>
    <w:rsid w:val="003C5B72"/>
    <w:rsid w:val="003D0C1D"/>
    <w:rsid w:val="003D1048"/>
    <w:rsid w:val="003E28A3"/>
    <w:rsid w:val="003E4596"/>
    <w:rsid w:val="003E6DF5"/>
    <w:rsid w:val="00406A18"/>
    <w:rsid w:val="004125EE"/>
    <w:rsid w:val="004131B0"/>
    <w:rsid w:val="004169E9"/>
    <w:rsid w:val="00417DB3"/>
    <w:rsid w:val="004227A9"/>
    <w:rsid w:val="004237AD"/>
    <w:rsid w:val="004241B1"/>
    <w:rsid w:val="00426A9E"/>
    <w:rsid w:val="00433E36"/>
    <w:rsid w:val="00434624"/>
    <w:rsid w:val="00435B79"/>
    <w:rsid w:val="00437D99"/>
    <w:rsid w:val="00440455"/>
    <w:rsid w:val="004417AD"/>
    <w:rsid w:val="00443AE5"/>
    <w:rsid w:val="0044587E"/>
    <w:rsid w:val="0045720A"/>
    <w:rsid w:val="004629EF"/>
    <w:rsid w:val="004631EC"/>
    <w:rsid w:val="004656AA"/>
    <w:rsid w:val="00473C07"/>
    <w:rsid w:val="00486FF4"/>
    <w:rsid w:val="00487C17"/>
    <w:rsid w:val="00492C30"/>
    <w:rsid w:val="004964A9"/>
    <w:rsid w:val="004A133D"/>
    <w:rsid w:val="004A34E7"/>
    <w:rsid w:val="004B4962"/>
    <w:rsid w:val="004C28BD"/>
    <w:rsid w:val="004D169B"/>
    <w:rsid w:val="004D4D46"/>
    <w:rsid w:val="004D6995"/>
    <w:rsid w:val="004E2E54"/>
    <w:rsid w:val="004F02A2"/>
    <w:rsid w:val="004F459A"/>
    <w:rsid w:val="004F593E"/>
    <w:rsid w:val="004F65FA"/>
    <w:rsid w:val="005038D3"/>
    <w:rsid w:val="00505A6B"/>
    <w:rsid w:val="005114DB"/>
    <w:rsid w:val="00511F80"/>
    <w:rsid w:val="00512A8C"/>
    <w:rsid w:val="005207AF"/>
    <w:rsid w:val="00535E0D"/>
    <w:rsid w:val="00547BFE"/>
    <w:rsid w:val="00550E48"/>
    <w:rsid w:val="00553308"/>
    <w:rsid w:val="00553B3C"/>
    <w:rsid w:val="00561F65"/>
    <w:rsid w:val="00570C68"/>
    <w:rsid w:val="00581323"/>
    <w:rsid w:val="00583425"/>
    <w:rsid w:val="005A0696"/>
    <w:rsid w:val="005A1400"/>
    <w:rsid w:val="005A3196"/>
    <w:rsid w:val="005B3F30"/>
    <w:rsid w:val="005C0835"/>
    <w:rsid w:val="005D1A3A"/>
    <w:rsid w:val="005D5BEC"/>
    <w:rsid w:val="005D5CDD"/>
    <w:rsid w:val="005F47F5"/>
    <w:rsid w:val="006324D1"/>
    <w:rsid w:val="006375BA"/>
    <w:rsid w:val="00647645"/>
    <w:rsid w:val="00651B53"/>
    <w:rsid w:val="006668BA"/>
    <w:rsid w:val="00667263"/>
    <w:rsid w:val="006775DF"/>
    <w:rsid w:val="006A2D2F"/>
    <w:rsid w:val="006A3CDB"/>
    <w:rsid w:val="006A42F3"/>
    <w:rsid w:val="006B0607"/>
    <w:rsid w:val="006D3E2D"/>
    <w:rsid w:val="006D5511"/>
    <w:rsid w:val="006E60CA"/>
    <w:rsid w:val="006E7772"/>
    <w:rsid w:val="006F3810"/>
    <w:rsid w:val="007007D0"/>
    <w:rsid w:val="00713913"/>
    <w:rsid w:val="00717A37"/>
    <w:rsid w:val="007226CB"/>
    <w:rsid w:val="00727FE4"/>
    <w:rsid w:val="00732ACE"/>
    <w:rsid w:val="0074063F"/>
    <w:rsid w:val="0074482F"/>
    <w:rsid w:val="007607A5"/>
    <w:rsid w:val="00761E73"/>
    <w:rsid w:val="00764403"/>
    <w:rsid w:val="0077138C"/>
    <w:rsid w:val="00792BE1"/>
    <w:rsid w:val="007A2319"/>
    <w:rsid w:val="007A3DF2"/>
    <w:rsid w:val="007B0C08"/>
    <w:rsid w:val="007B12AB"/>
    <w:rsid w:val="007C1E52"/>
    <w:rsid w:val="007C761D"/>
    <w:rsid w:val="007D70CB"/>
    <w:rsid w:val="007E4E4D"/>
    <w:rsid w:val="007E699D"/>
    <w:rsid w:val="007E7591"/>
    <w:rsid w:val="007F225B"/>
    <w:rsid w:val="008000AF"/>
    <w:rsid w:val="0080010E"/>
    <w:rsid w:val="00812B25"/>
    <w:rsid w:val="00822AF1"/>
    <w:rsid w:val="008240F6"/>
    <w:rsid w:val="00830B0C"/>
    <w:rsid w:val="00831694"/>
    <w:rsid w:val="00832123"/>
    <w:rsid w:val="00832C59"/>
    <w:rsid w:val="00837079"/>
    <w:rsid w:val="008468F5"/>
    <w:rsid w:val="00855EF6"/>
    <w:rsid w:val="0085649F"/>
    <w:rsid w:val="00863D78"/>
    <w:rsid w:val="00874FCC"/>
    <w:rsid w:val="00887418"/>
    <w:rsid w:val="008A7502"/>
    <w:rsid w:val="008C5C7D"/>
    <w:rsid w:val="008C6343"/>
    <w:rsid w:val="008C7A87"/>
    <w:rsid w:val="008D4337"/>
    <w:rsid w:val="008D7296"/>
    <w:rsid w:val="008E2CCB"/>
    <w:rsid w:val="008F2C0E"/>
    <w:rsid w:val="00910C04"/>
    <w:rsid w:val="00916DFE"/>
    <w:rsid w:val="00925676"/>
    <w:rsid w:val="0092756E"/>
    <w:rsid w:val="0093377D"/>
    <w:rsid w:val="00943CD1"/>
    <w:rsid w:val="00952A8C"/>
    <w:rsid w:val="009759A6"/>
    <w:rsid w:val="00980E5E"/>
    <w:rsid w:val="00984361"/>
    <w:rsid w:val="009847FE"/>
    <w:rsid w:val="00996D30"/>
    <w:rsid w:val="009972E1"/>
    <w:rsid w:val="009977E6"/>
    <w:rsid w:val="009A6BFD"/>
    <w:rsid w:val="009B3716"/>
    <w:rsid w:val="009D56EC"/>
    <w:rsid w:val="009E3F93"/>
    <w:rsid w:val="009E4DFD"/>
    <w:rsid w:val="00A00D9C"/>
    <w:rsid w:val="00A43EF7"/>
    <w:rsid w:val="00A515DE"/>
    <w:rsid w:val="00A64697"/>
    <w:rsid w:val="00A647CE"/>
    <w:rsid w:val="00A81456"/>
    <w:rsid w:val="00AA2B1D"/>
    <w:rsid w:val="00AB2E60"/>
    <w:rsid w:val="00AC15FA"/>
    <w:rsid w:val="00AC3C90"/>
    <w:rsid w:val="00AD24DF"/>
    <w:rsid w:val="00AD352F"/>
    <w:rsid w:val="00AF0FC1"/>
    <w:rsid w:val="00B00287"/>
    <w:rsid w:val="00B01FC5"/>
    <w:rsid w:val="00B1183D"/>
    <w:rsid w:val="00B1480E"/>
    <w:rsid w:val="00B15E11"/>
    <w:rsid w:val="00B16EB8"/>
    <w:rsid w:val="00B22C69"/>
    <w:rsid w:val="00B243FA"/>
    <w:rsid w:val="00B4524E"/>
    <w:rsid w:val="00B47673"/>
    <w:rsid w:val="00B528B4"/>
    <w:rsid w:val="00B53BEB"/>
    <w:rsid w:val="00B632D1"/>
    <w:rsid w:val="00B71A40"/>
    <w:rsid w:val="00B774F1"/>
    <w:rsid w:val="00B8028A"/>
    <w:rsid w:val="00B84F00"/>
    <w:rsid w:val="00B90DFB"/>
    <w:rsid w:val="00B9204E"/>
    <w:rsid w:val="00BA206F"/>
    <w:rsid w:val="00BA47A0"/>
    <w:rsid w:val="00BC21FD"/>
    <w:rsid w:val="00BC40EC"/>
    <w:rsid w:val="00BC6294"/>
    <w:rsid w:val="00BD0A4D"/>
    <w:rsid w:val="00BD35F6"/>
    <w:rsid w:val="00BF1D4E"/>
    <w:rsid w:val="00BF1F19"/>
    <w:rsid w:val="00C0103A"/>
    <w:rsid w:val="00C0317F"/>
    <w:rsid w:val="00C0394C"/>
    <w:rsid w:val="00C11DE4"/>
    <w:rsid w:val="00C15BEA"/>
    <w:rsid w:val="00C17331"/>
    <w:rsid w:val="00C221E5"/>
    <w:rsid w:val="00C23B7A"/>
    <w:rsid w:val="00C32F43"/>
    <w:rsid w:val="00C40D9D"/>
    <w:rsid w:val="00C40EFA"/>
    <w:rsid w:val="00C43694"/>
    <w:rsid w:val="00C501C0"/>
    <w:rsid w:val="00C56BAE"/>
    <w:rsid w:val="00C57079"/>
    <w:rsid w:val="00C707AA"/>
    <w:rsid w:val="00C7241C"/>
    <w:rsid w:val="00C74967"/>
    <w:rsid w:val="00C76FE8"/>
    <w:rsid w:val="00C83E46"/>
    <w:rsid w:val="00CB21E2"/>
    <w:rsid w:val="00CE0E42"/>
    <w:rsid w:val="00CE13D9"/>
    <w:rsid w:val="00CF23DB"/>
    <w:rsid w:val="00D10D85"/>
    <w:rsid w:val="00D122F9"/>
    <w:rsid w:val="00D1504D"/>
    <w:rsid w:val="00D26636"/>
    <w:rsid w:val="00D45E0F"/>
    <w:rsid w:val="00D538AC"/>
    <w:rsid w:val="00D56E10"/>
    <w:rsid w:val="00D77A1D"/>
    <w:rsid w:val="00D8690C"/>
    <w:rsid w:val="00D86C65"/>
    <w:rsid w:val="00D90D29"/>
    <w:rsid w:val="00D95FF6"/>
    <w:rsid w:val="00DA1BE0"/>
    <w:rsid w:val="00DA1E4F"/>
    <w:rsid w:val="00DA4722"/>
    <w:rsid w:val="00DC2500"/>
    <w:rsid w:val="00DC660F"/>
    <w:rsid w:val="00DD1A37"/>
    <w:rsid w:val="00DE7B0E"/>
    <w:rsid w:val="00DF192D"/>
    <w:rsid w:val="00DF3E7C"/>
    <w:rsid w:val="00DF4A2B"/>
    <w:rsid w:val="00DF4D3C"/>
    <w:rsid w:val="00DF7D94"/>
    <w:rsid w:val="00E06B4E"/>
    <w:rsid w:val="00E06CF0"/>
    <w:rsid w:val="00E220CB"/>
    <w:rsid w:val="00E3025C"/>
    <w:rsid w:val="00E32250"/>
    <w:rsid w:val="00E47C63"/>
    <w:rsid w:val="00E50391"/>
    <w:rsid w:val="00E5579E"/>
    <w:rsid w:val="00E630F1"/>
    <w:rsid w:val="00E70920"/>
    <w:rsid w:val="00E74665"/>
    <w:rsid w:val="00EA4344"/>
    <w:rsid w:val="00EE235B"/>
    <w:rsid w:val="00EE7C7C"/>
    <w:rsid w:val="00EF0997"/>
    <w:rsid w:val="00EF2D6B"/>
    <w:rsid w:val="00EF7D03"/>
    <w:rsid w:val="00F01881"/>
    <w:rsid w:val="00F074BC"/>
    <w:rsid w:val="00F12E43"/>
    <w:rsid w:val="00F159D1"/>
    <w:rsid w:val="00F25385"/>
    <w:rsid w:val="00F300BC"/>
    <w:rsid w:val="00F3045F"/>
    <w:rsid w:val="00F364CE"/>
    <w:rsid w:val="00F413A8"/>
    <w:rsid w:val="00F44E8C"/>
    <w:rsid w:val="00F519F3"/>
    <w:rsid w:val="00F63D7F"/>
    <w:rsid w:val="00F7213C"/>
    <w:rsid w:val="00F76521"/>
    <w:rsid w:val="00F767E6"/>
    <w:rsid w:val="00F855E1"/>
    <w:rsid w:val="00F95539"/>
    <w:rsid w:val="00FA13F6"/>
    <w:rsid w:val="00FA4859"/>
    <w:rsid w:val="00FB63D7"/>
    <w:rsid w:val="00FB6C11"/>
    <w:rsid w:val="00FC026F"/>
    <w:rsid w:val="00FD0AC3"/>
    <w:rsid w:val="00FD25F7"/>
    <w:rsid w:val="00FD2CDA"/>
    <w:rsid w:val="00FD54B7"/>
    <w:rsid w:val="00FE0941"/>
    <w:rsid w:val="00FE47D5"/>
    <w:rsid w:val="00FF113C"/>
    <w:rsid w:val="00FF61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0E4F"/>
  <w15:chartTrackingRefBased/>
  <w15:docId w15:val="{10F71348-664E-4711-B6E7-5001E7C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697"/>
  </w:style>
  <w:style w:type="paragraph" w:styleId="Piedepgina">
    <w:name w:val="footer"/>
    <w:basedOn w:val="Normal"/>
    <w:link w:val="PiedepginaCar"/>
    <w:uiPriority w:val="99"/>
    <w:unhideWhenUsed/>
    <w:rsid w:val="00A64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697"/>
  </w:style>
  <w:style w:type="table" w:styleId="Tablaconcuadrcula">
    <w:name w:val="Table Grid"/>
    <w:basedOn w:val="Tablanormal"/>
    <w:uiPriority w:val="39"/>
    <w:rsid w:val="00A6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DB2"/>
    <w:pPr>
      <w:spacing w:before="100" w:beforeAutospacing="1" w:after="142" w:line="288"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190DB2"/>
    <w:rPr>
      <w:color w:val="0000FF"/>
      <w:u w:val="single"/>
    </w:rPr>
  </w:style>
  <w:style w:type="character" w:customStyle="1" w:styleId="Mencinsinresolver1">
    <w:name w:val="Mención sin resolver1"/>
    <w:basedOn w:val="Fuentedeprrafopredeter"/>
    <w:uiPriority w:val="99"/>
    <w:rsid w:val="0024249E"/>
    <w:rPr>
      <w:color w:val="605E5C"/>
      <w:shd w:val="clear" w:color="auto" w:fill="E1DFDD"/>
    </w:rPr>
  </w:style>
  <w:style w:type="paragraph" w:customStyle="1" w:styleId="Standard">
    <w:name w:val="Standard"/>
    <w:rsid w:val="008C6343"/>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notapie">
    <w:name w:val="footnote text"/>
    <w:basedOn w:val="Normal"/>
    <w:link w:val="TextonotapieCar"/>
    <w:uiPriority w:val="99"/>
    <w:semiHidden/>
    <w:unhideWhenUsed/>
    <w:rsid w:val="000A6C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C43"/>
    <w:rPr>
      <w:sz w:val="20"/>
      <w:szCs w:val="20"/>
    </w:rPr>
  </w:style>
  <w:style w:type="character" w:styleId="Refdenotaalpie">
    <w:name w:val="footnote reference"/>
    <w:basedOn w:val="Fuentedeprrafopredeter"/>
    <w:uiPriority w:val="99"/>
    <w:semiHidden/>
    <w:unhideWhenUsed/>
    <w:rsid w:val="000A6C43"/>
    <w:rPr>
      <w:vertAlign w:val="superscript"/>
    </w:rPr>
  </w:style>
  <w:style w:type="paragraph" w:styleId="Prrafodelista">
    <w:name w:val="List Paragraph"/>
    <w:basedOn w:val="Normal"/>
    <w:uiPriority w:val="34"/>
    <w:qFormat/>
    <w:rsid w:val="00E5579E"/>
    <w:pPr>
      <w:ind w:left="720"/>
      <w:contextualSpacing/>
    </w:pPr>
  </w:style>
  <w:style w:type="character" w:customStyle="1" w:styleId="Mencinsinresolver2">
    <w:name w:val="Mención sin resolver2"/>
    <w:basedOn w:val="Fuentedeprrafopredeter"/>
    <w:uiPriority w:val="99"/>
    <w:semiHidden/>
    <w:unhideWhenUsed/>
    <w:rsid w:val="00B8028A"/>
    <w:rPr>
      <w:color w:val="605E5C"/>
      <w:shd w:val="clear" w:color="auto" w:fill="E1DFDD"/>
    </w:rPr>
  </w:style>
  <w:style w:type="character" w:styleId="Refdecomentario">
    <w:name w:val="annotation reference"/>
    <w:basedOn w:val="Fuentedeprrafopredeter"/>
    <w:uiPriority w:val="99"/>
    <w:semiHidden/>
    <w:unhideWhenUsed/>
    <w:rsid w:val="00FD0AC3"/>
    <w:rPr>
      <w:sz w:val="16"/>
      <w:szCs w:val="16"/>
    </w:rPr>
  </w:style>
  <w:style w:type="paragraph" w:styleId="Textocomentario">
    <w:name w:val="annotation text"/>
    <w:basedOn w:val="Normal"/>
    <w:link w:val="TextocomentarioCar"/>
    <w:uiPriority w:val="99"/>
    <w:unhideWhenUsed/>
    <w:rsid w:val="00FD0AC3"/>
    <w:pPr>
      <w:spacing w:line="240" w:lineRule="auto"/>
    </w:pPr>
    <w:rPr>
      <w:sz w:val="20"/>
      <w:szCs w:val="20"/>
    </w:rPr>
  </w:style>
  <w:style w:type="character" w:customStyle="1" w:styleId="TextocomentarioCar">
    <w:name w:val="Texto comentario Car"/>
    <w:basedOn w:val="Fuentedeprrafopredeter"/>
    <w:link w:val="Textocomentario"/>
    <w:uiPriority w:val="99"/>
    <w:rsid w:val="00FD0AC3"/>
    <w:rPr>
      <w:sz w:val="20"/>
      <w:szCs w:val="20"/>
    </w:rPr>
  </w:style>
  <w:style w:type="paragraph" w:styleId="Asuntodelcomentario">
    <w:name w:val="annotation subject"/>
    <w:basedOn w:val="Textocomentario"/>
    <w:next w:val="Textocomentario"/>
    <w:link w:val="AsuntodelcomentarioCar"/>
    <w:uiPriority w:val="99"/>
    <w:semiHidden/>
    <w:unhideWhenUsed/>
    <w:rsid w:val="00FD0AC3"/>
    <w:rPr>
      <w:b/>
      <w:bCs/>
    </w:rPr>
  </w:style>
  <w:style w:type="character" w:customStyle="1" w:styleId="AsuntodelcomentarioCar">
    <w:name w:val="Asunto del comentario Car"/>
    <w:basedOn w:val="TextocomentarioCar"/>
    <w:link w:val="Asuntodelcomentario"/>
    <w:uiPriority w:val="99"/>
    <w:semiHidden/>
    <w:rsid w:val="00FD0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af.ucr.ac.c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af.ucr.ac.c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3D0D-016B-4CC2-94F5-A5E4F5A4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Circular OAF-13-2022</vt:lpstr>
    </vt:vector>
  </TitlesOfParts>
  <Company>Hewlett-Packard Company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OAF-13-2022</dc:title>
  <dc:creator>Sistema de Gestión Documental</dc:creator>
  <cp:lastModifiedBy>Marlen Salas Guerrero</cp:lastModifiedBy>
  <cp:revision>2</cp:revision>
  <cp:lastPrinted>2023-05-02T23:33:00Z</cp:lastPrinted>
  <dcterms:created xsi:type="dcterms:W3CDTF">2023-05-17T17:47:00Z</dcterms:created>
  <dcterms:modified xsi:type="dcterms:W3CDTF">2023-05-17T17:47:00Z</dcterms:modified>
</cp:coreProperties>
</file>